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ZARZĄDZENIE Nr 6</w:t>
      </w:r>
      <w:r>
        <w:rPr>
          <w:rFonts w:eastAsia="Times New Roman" w:cs="Times New Roman"/>
          <w:b/>
          <w:sz w:val="24"/>
          <w:szCs w:val="24"/>
          <w:lang w:eastAsia="pl-PL"/>
        </w:rPr>
        <w:t>5</w:t>
      </w:r>
      <w:r>
        <w:rPr>
          <w:rFonts w:eastAsia="Times New Roman" w:cs="Times New Roman"/>
          <w:b/>
          <w:sz w:val="24"/>
          <w:szCs w:val="24"/>
          <w:lang w:eastAsia="pl-PL"/>
        </w:rPr>
        <w:t>/2023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Wójta Gminy Rachanie</w:t>
      </w:r>
    </w:p>
    <w:p>
      <w:pPr>
        <w:pStyle w:val="Normal"/>
        <w:spacing w:lineRule="auto" w:line="276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 dnia 12 grudnia 2023r.</w:t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w sprawie ogłoszenia otwartego naboru na Partnera spoza sektora finansów publicznych, posiadającego siedzibę, filie lub oddział na terenie województwa lubelskiego, do wspólnej realizacji projektu w ramach Funduszy Europejskich dla Lubelskiego na lata 2021-2027, Priorytet 10 Lepsza Edukacja, Działania 10.2 Edukacja Przedszkolna.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b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ab/>
        <w:t xml:space="preserve"> Na podstawie art. 39 ustawy z dnia 28 kwietnia 2022 r., o zasadach realizacji zadań finansowanych ze środków europejskich w perspektywie finansowej 2021-2027 (Dz. U. 2022 poz. 1079) oraz  art. 30 ust. 1 ustawy z dnia 8 marca 1990r. o samorządzie gminnym (Dz. U. z 2023 r. poz. 40)  zarządzam, co następuje:</w:t>
      </w:r>
    </w:p>
    <w:p>
      <w:pPr>
        <w:pStyle w:val="Normal"/>
        <w:spacing w:lineRule="auto" w:line="276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1.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1. Ogłaszam otwarty nabór na Partnera spoza sektora finansów publicznych do wspólnego przygotowania i realizacji projektów stanowiących odpowiedź na nabory ogłaszane przez Zarząd Województwa Lubelskiego w ramach Funduszy Europejskich dla Lubelskiego 2021-27, Priorytet X: Lepsza edukacja , Działanie 10.2  Edukacja Przedszkolna.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2. Treść ogłoszenia, o którym mowa w ust. 1, stanowi  załącznik nr 1 do niniejszego Zarządzenia.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3. Oferty należy składać na formularzu ofertowym, którego wzór stanowi Załącznik nr 2 do niniejszego Zarządzenia.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4. Oferty będą oceniane według kryteriów wskazanych w Regulaminie stanowiącym załącznik nr 3 do niniejszego Zarządzenia.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2.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Ogłoszenie publikuje się poprzez jego zamieszczenie w Biuletynie Informacji Publicznej Urzędu Gminy Rachanie oraz na stronie internetowej Urzędu Gminy Rachanie.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3.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1. Powołuję Komisję ds. Wyboru partnera, zwaną dalej Komisją, w składzie: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Katarzyna Turkot – Przewodnicząca Komisji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Monika Urban – Członek Komisji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/>
        <w:t>Sylwia Luchowska – Członek Komisji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2. W przypadku konieczności przeprowadzenia dodatkowych konsultacji Przewodniczący Komisji może zapraszać do udziału w pracach Komisji inne osoby nie wchodzące w jej skład, w szczególności ekspertów.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>3. Do zadań Komisji należy w szczególności wyłonienie w procedurze otwartego naboru partnera, w celu wspólnego przygotowania i realizacji projektów.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4. Zasady pracy Komisji ujęte są w Regulaminie stanowiącym załącznik nr 3 do niniejszego Zarządzenia.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4.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Wójt Gminy Rachanie zastrzega sobie możliwość unieważnienia otwartego naboru partnera, o którym mowa w </w:t>
      </w:r>
      <w:r>
        <w:rPr>
          <w:rFonts w:eastAsia="Times New Roman" w:cs="Times New Roman"/>
          <w:b w:val="false"/>
          <w:bCs w:val="false"/>
          <w:sz w:val="24"/>
          <w:szCs w:val="24"/>
          <w:lang w:eastAsia="pl-PL"/>
        </w:rPr>
        <w:t>§ 1, bez podania przyczyny.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5.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Wykonanie zarządzenia powierza się Zastępcy Wójta Gminy Rachanie.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§ 6.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Zarządzenie wchodzi w życie z dniem podjęcia.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  </w:t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Wójt Gminy Rachanie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/-/ Roman Miedziak</w:t>
      </w:r>
    </w:p>
    <w:p>
      <w:pPr>
        <w:pStyle w:val="Normal"/>
        <w:spacing w:lineRule="auto" w:line="240" w:before="0" w:after="0"/>
        <w:jc w:val="right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bookmarkStart w:id="0" w:name="_Hlk100563116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  <w:bookmarkEnd w:id="0"/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Załącznik nr 1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Zarządzenia nr 6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5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/2023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Wójta Gminy Rachanie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 dnia 12 grudnia 2023 r.</w:t>
      </w:r>
    </w:p>
    <w:p>
      <w:pPr>
        <w:pStyle w:val="Normal"/>
        <w:spacing w:before="0" w:after="280"/>
        <w:jc w:val="center"/>
        <w:rPr>
          <w:rFonts w:ascii="Calibri" w:hAnsi="Calibri"/>
          <w:sz w:val="40"/>
        </w:rPr>
      </w:pPr>
      <w:r>
        <w:rPr>
          <w:sz w:val="40"/>
        </w:rPr>
      </w:r>
    </w:p>
    <w:p>
      <w:pPr>
        <w:pStyle w:val="Normal"/>
        <w:spacing w:before="0" w:after="280"/>
        <w:jc w:val="center"/>
        <w:rPr/>
      </w:pPr>
      <w:r>
        <w:rPr>
          <w:sz w:val="40"/>
        </w:rPr>
        <w:t>Konkurs na nabór partnera do realizacji projektu w ramach FEL 2021-2027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Na podstawie art. 39 ust. 1, 2 pkt 1-3 ustawy z dnia 28 kwietnia 2022 roku o zasadach realizacji zadań finansowanych ze środków europejskich w perspektywie finansowej 2021–2027 (Dz. U. 2022 poz. 1079) 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Gmina Rachanie ogłasza </w:t>
      </w:r>
      <w:r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otwarty nabór na partnera pochodzącego spoza sektora finansów </w:t>
      </w:r>
      <w:r>
        <w:rPr>
          <w:rFonts w:eastAsia="Times New Roman" w:cs="Times New Roman"/>
          <w:b/>
          <w:sz w:val="24"/>
          <w:szCs w:val="24"/>
          <w:u w:val="single"/>
          <w:lang w:eastAsia="pl-PL"/>
        </w:rPr>
        <w:t>publicznych, posiadającego siedzibę, filię lub oddział na terenie województwa lubelskiego,</w:t>
      </w:r>
      <w:r>
        <w:rPr>
          <w:rFonts w:eastAsia="Times New Roman" w:cs="Times New Roman"/>
          <w:sz w:val="24"/>
          <w:szCs w:val="24"/>
          <w:lang w:eastAsia="pl-PL"/>
        </w:rPr>
        <w:t xml:space="preserve"> do wspólnej realizacji projektu w ramach Funduszy Europejskich dla Lubelskiego na lata 2021-2027, Priorytet 10 Lepsza Edukacja, Działania 10.2 Edukacja Przedszkolna. Wnioskodawcą będzie Gmina Rachanie. 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1. </w:t>
      </w:r>
      <w:r>
        <w:rPr>
          <w:rFonts w:eastAsia="Times New Roman" w:cs="Times New Roman"/>
          <w:b/>
          <w:sz w:val="24"/>
          <w:szCs w:val="24"/>
          <w:lang w:eastAsia="pl-PL"/>
        </w:rPr>
        <w:t>Celem Partnerstwa</w:t>
      </w:r>
      <w:r>
        <w:rPr>
          <w:rFonts w:eastAsia="Times New Roman" w:cs="Times New Roman"/>
          <w:sz w:val="24"/>
          <w:szCs w:val="24"/>
          <w:lang w:eastAsia="pl-PL"/>
        </w:rPr>
        <w:t xml:space="preserve"> będzie wspólna realizacja projektu skierowanego do uczniów i nauczycieli szkół podstawowych zgodnie z w</w:t>
      </w:r>
      <w:r>
        <w:rPr/>
        <w:t>ytycznymi w zakresie realizacji przedsięwzięć w obszarze kształcenia ogólnego z wykorzystaniem środków EFS i EFRR na lata 2021-2027</w:t>
      </w:r>
      <w:r>
        <w:rPr>
          <w:rFonts w:eastAsia="Times New Roman" w:cs="Times New Roman"/>
          <w:sz w:val="24"/>
          <w:szCs w:val="24"/>
          <w:lang w:eastAsia="pl-PL"/>
        </w:rPr>
        <w:t>, ze szczególnym uwzględnieniem uczniów Gminy Rachanie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2. Przedmiotowy projekt będzie realizowany w oparciu o dokumentację konkursową umieszczoną na stronach internetowych Instytucji Zarządzającej FEL 2021-2027.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3. Nabór Partnera odbywać się będzie w terminie 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od 12.12.2023 r. Do 03.01.2024 r. 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4. Załącznikiem do ogłoszenia jest Regulamin naboru oraz formularz oferty.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5. Oferty należy składać w zamkniętej kopercie z adnotacją 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"Konkurs na wybór partnera do projektu w ramach Działania 10.2 Edukacja Przedszkolna" </w:t>
      </w:r>
      <w:r>
        <w:rPr>
          <w:rFonts w:eastAsia="Times New Roman" w:cs="Times New Roman"/>
          <w:sz w:val="24"/>
          <w:szCs w:val="24"/>
          <w:lang w:eastAsia="pl-PL"/>
        </w:rPr>
        <w:t xml:space="preserve">osobiście, za pośrednictwem poczty na adres: ul. Dolna 1 22-640 Rachanie, lub mailowo na adres: </w:t>
      </w:r>
      <w:hyperlink r:id="rId2">
        <w:r>
          <w:rPr>
            <w:rStyle w:val="Czeinternetowe"/>
            <w:rFonts w:eastAsia="Times New Roman" w:cs="Times New Roman"/>
            <w:color w:val="111111"/>
            <w:sz w:val="24"/>
            <w:szCs w:val="24"/>
            <w:lang w:eastAsia="pl-PL"/>
          </w:rPr>
          <w:t>przetargi@rachanie.gmina.pl</w:t>
        </w:r>
      </w:hyperlink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/>
          <w:b/>
          <w:sz w:val="24"/>
          <w:szCs w:val="24"/>
          <w:lang w:eastAsia="pl-PL"/>
        </w:rPr>
        <w:t>do 3.01.2024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r.</w:t>
      </w:r>
    </w:p>
    <w:p>
      <w:pPr>
        <w:pStyle w:val="Normal"/>
        <w:spacing w:lineRule="auto" w:line="240" w:before="0" w:after="360"/>
        <w:jc w:val="both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>6. Wszelkie pytania związane z prowadzonym naborem należy kierować w formie pisemnej na adres: ul. Dolna 1 , 22-640 Rachanie lub mailowo na adres: przetargi@rachanie.gmina.pl.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b w:val="false"/>
          <w:bCs w:val="false"/>
          <w:sz w:val="24"/>
          <w:szCs w:val="24"/>
          <w:u w:val="single"/>
          <w:lang w:eastAsia="pl-PL"/>
        </w:rPr>
        <w:t>7. Osoby do kontaktu:</w:t>
      </w:r>
      <w:r>
        <w:rPr>
          <w:rFonts w:eastAsia="Times New Roman" w:cs="Times New Roman"/>
          <w:sz w:val="24"/>
          <w:szCs w:val="24"/>
          <w:lang w:eastAsia="pl-PL"/>
        </w:rPr>
        <w:br/>
        <w:t>Monika Urban, tel. (84) 647 11 03, mail: </w:t>
      </w:r>
      <w:r>
        <w:rPr>
          <w:rStyle w:val="Czeinternetowe"/>
          <w:rFonts w:eastAsia="Times New Roman" w:cs="Times New Roman"/>
          <w:color w:val="111111"/>
          <w:sz w:val="24"/>
          <w:szCs w:val="24"/>
          <w:lang w:eastAsia="pl-PL"/>
        </w:rPr>
        <w:t>monika.urban@rachanie.gmina.pl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Katarzyna Turkot, tel. (84) 647 11 03, mail: </w:t>
      </w:r>
      <w:r>
        <w:rPr>
          <w:rStyle w:val="Czeinternetowe"/>
          <w:rFonts w:eastAsia="Times New Roman" w:cs="Times New Roman"/>
          <w:color w:val="111111"/>
          <w:sz w:val="24"/>
          <w:szCs w:val="24"/>
          <w:lang w:eastAsia="pl-PL"/>
        </w:rPr>
        <w:t>katarzyna.turkot@rachanie.gmina.pl</w:t>
      </w:r>
    </w:p>
    <w:p>
      <w:pPr>
        <w:pStyle w:val="Normal"/>
        <w:spacing w:lineRule="auto" w:line="240" w:before="0" w:after="0"/>
        <w:rPr>
          <w:rStyle w:val="Czeinternetowe"/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                  </w:t>
      </w:r>
      <w:r>
        <w:rPr/>
        <w:t xml:space="preserve">Załącznik nr 2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</w:t>
      </w:r>
      <w:r>
        <w:rPr/>
        <w:t>do Zarządzenia nr 6</w:t>
      </w:r>
      <w:r>
        <w:rPr/>
        <w:t>5</w:t>
      </w:r>
      <w:r>
        <w:rPr/>
        <w:t>/2023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</w:t>
      </w:r>
      <w:r>
        <w:rPr/>
        <w:t>Wójta Gminy Rachanie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  </w:t>
      </w:r>
      <w:r>
        <w:rPr/>
        <w:t>z dnia 12 grudnia 2023 r.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agwek1"/>
        <w:spacing w:before="280" w:after="280"/>
        <w:jc w:val="center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FORMULARZ OFERTY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agwek2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I.  INFORMACJA O PODMIOCIE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tbl>
      <w:tblPr>
        <w:tblStyle w:val="Tabela-Siatka"/>
        <w:tblW w:w="8438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9"/>
        <w:gridCol w:w="2756"/>
        <w:gridCol w:w="5213"/>
      </w:tblGrid>
      <w:tr>
        <w:trPr>
          <w:trHeight w:val="471" w:hRule="atLeast"/>
        </w:trPr>
        <w:tc>
          <w:tcPr>
            <w:tcW w:w="8438" w:type="dxa"/>
            <w:gridSpan w:val="3"/>
            <w:tcBorders/>
            <w:shd w:color="auto" w:fill="auto" w:val="clear"/>
          </w:tcPr>
          <w:p>
            <w:pPr>
              <w:pStyle w:val="Nagwek3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Dane podmiotu</w:t>
            </w:r>
          </w:p>
        </w:tc>
      </w:tr>
      <w:tr>
        <w:trPr>
          <w:trHeight w:val="563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1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Nazwa podmiotu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9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2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Forma organizacyjna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53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3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NIP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561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4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REGON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7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5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siedziby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849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6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poczty 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691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7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Adres strony internetowej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/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8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Osoba uprawniona do reprezentacji: imię inazwisko, nr telefonu, adres pocztyelektronicznej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  <w:tr>
        <w:trPr>
          <w:trHeight w:val="1134" w:hRule="atLeast"/>
        </w:trPr>
        <w:tc>
          <w:tcPr>
            <w:tcW w:w="469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9</w:t>
            </w:r>
          </w:p>
        </w:tc>
        <w:tc>
          <w:tcPr>
            <w:tcW w:w="2756" w:type="dxa"/>
            <w:tcBorders/>
            <w:shd w:color="auto" w:fill="auto" w:val="clear"/>
          </w:tcPr>
          <w:p>
            <w:pPr>
              <w:pStyle w:val="Nagwek6"/>
              <w:widowControl w:val="false"/>
              <w:suppressAutoHyphens w:val="true"/>
              <w:spacing w:lineRule="auto" w:line="240" w:before="200" w:after="0"/>
              <w:jc w:val="left"/>
              <w:rPr>
                <w:rFonts w:ascii="Calibri" w:hAnsi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Calibri" w:hAnsi="Calibri"/>
                <w:color w:val="000000" w:themeColor="text1"/>
                <w:kern w:val="0"/>
                <w:sz w:val="24"/>
                <w:szCs w:val="24"/>
                <w:lang w:val="pl-PL" w:eastAsia="en-US" w:bidi="ar-SA"/>
              </w:rPr>
              <w:t>Dane osoby do kontaktu: imię inazwisko, nr telefonu, adres pocztyelektronicznej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Calibri" w:hAnsi="Calibri"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agwek2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II. OŚWIADCZENIA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W odpowiedzi na ogłoszony przez Gminę Rachanie konkurs na wybór Partnera w celu przygotowania i wspólnej realizacji projektu realizowanego w ramach w ramach Funduszy Europejskich dla Lubelskiego na lata 2021-2027, Priorytet 10 Lepsza Edukacja, Działanie 10.2 Edukacja Przedszkolna składam/y ofertę udziału w planowanym projekcie oraz oświadczam/y, że:</w:t>
      </w:r>
    </w:p>
    <w:p>
      <w:pPr>
        <w:pStyle w:val="Normal"/>
        <w:spacing w:lineRule="auto" w:line="276" w:before="0" w:after="0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a) Zapoznałem(-am)/liśmy się z Regulaminem Konkursu dotyczącym Działania 10.2 organizowanego przez Urząd Marszałkowski Województwa Lubelskiego w Lublinie i akceptuję/emy jego zapisy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b) Wyrażam/y wolę aktywnego udziału w tworzeniu koncepcji projektu,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c) Przystąpię/my do negocjacji i podpisania umowy partnerskiej po zakończeniu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procedury konkursowej - najpóźniej po wyborze Projektu do dofinansowania, ale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przed złożeniem dokumentacji niezbędnej do podpisania umowy z Instytucją</w:t>
      </w:r>
    </w:p>
    <w:p>
      <w:pPr>
        <w:pStyle w:val="Normal"/>
        <w:spacing w:lineRule="auto" w:line="276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Ogłaszającą Konkurs,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d)  Zobowiązuję/-emy się do podpisania </w:t>
      </w:r>
      <w:r>
        <w:rPr>
          <w:rFonts w:cs="Times New Roman"/>
          <w:bCs/>
          <w:color w:val="000000" w:themeColor="text1"/>
          <w:sz w:val="24"/>
          <w:szCs w:val="24"/>
          <w:lang w:eastAsia="pl-PL"/>
        </w:rPr>
        <w:t>listu intencyjnego dotyczącego współpracy</w:t>
      </w:r>
      <w:r>
        <w:rPr>
          <w:rFonts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cs="Times New Roman"/>
          <w:color w:val="000000" w:themeColor="text1"/>
          <w:sz w:val="24"/>
          <w:szCs w:val="24"/>
        </w:rPr>
        <w:t>w ramach projektu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e) Wyrażam/y zgodę na przetwarzanie moich/naszych danych osobowych wyłącznie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do celów przeprowadzenia niniejszej procedury konkursowej na wybór Partnerów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zgodnie z Ustawą z dnia 29 sierpnia 1997 r . o ochronie danych osobowych (t.j. Dz.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U . 2014 r., poz. 1182, z późn.zm.)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f) 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Oświadczam/y, że podmiot/y który/e reprezentuję/-emy nie zalega/ją z uiszczaniem podatków, jak również z opłacaniem składek na ubezpieczenie społeczne i zdrowotne, Fundusz Pracy, Państwowy Fundusz Rehabilitacji Osób Niepełnosprawnych lub innych należności wymaganych odrębnymi przepisami. 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g) </w:t>
      </w: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Oświadczam/y, że nie ciąży na nas obowiązek zwrotu pomocy, wynikający z decyzji Komisji Europejskiej, uznającej pomoc za niezgodną z prawem oraz rynkiem wewnętrznym, zgodnie z art. 25 Ustawy z dnia 30 kwietnia 2004 r. o postępowaniu w sprawach dotyczących pomocy publicznej (Dz.U.2007.59.404 j.t. z póżn.zm.).                    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>h) Oświadczam/y, że  że podmiot/y który/e reprezentuję/-emy nie pozostaje/ą pod zarządem komisarycznym lub nie znajduje/ą się w toku likwidacji, postępowania upadłościowego (w tym nie oddalono wniosku o ogłoszenie upadłości z powodu braku majątku upadłego wystarczającego na zaspokojenie kosztów postępowania upadłościowego), postępowania naprawczego.</w:t>
      </w:r>
    </w:p>
    <w:p>
      <w:pPr>
        <w:pStyle w:val="Normal"/>
        <w:spacing w:before="0" w:after="0"/>
        <w:jc w:val="both"/>
        <w:rPr>
          <w:rFonts w:ascii="Calibri" w:hAnsi="Calibri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i) Oświadczam/y, że podmiot/y który/e reprezentuję nie podlega/ją wykluczeniu na podstawie obowiązujących przepisów prawa, w szczególności zapisów art. 207 ust. 4 ustawy z dnia 27 sierpnia 2009 r. o finansach publicznych (Dz.U. 2013 poz. 885 z późń. zm.)  i/lub art. 12 ust. 1 pkt 1 ustawy z dnia 15 czerwca 2012 r. o skutkach powierzania wykonywania pracy cudzoziemcom przebywającym wbrew przepisom na terytorium Rzeczypospolitej Polskiej (Dz. U. 2012 poz.769) i/lub art. 9 ust. 1 pkt 2a ustawy z dnia 28 października 2002 r. o odpowiedzialności podmiotów zbiorowych za czyny zabronione pod groźbą kary (t.j. Dz.U. 2014 poz. 1417). </w:t>
      </w:r>
    </w:p>
    <w:p>
      <w:pPr>
        <w:pStyle w:val="Normal"/>
        <w:spacing w:lineRule="auto" w:line="276" w:before="0" w:after="200"/>
        <w:rPr>
          <w:rFonts w:ascii="Calibri" w:hAnsi="Calibri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</w:r>
      <w:r>
        <w:br w:type="page"/>
      </w:r>
    </w:p>
    <w:p>
      <w:pPr>
        <w:pStyle w:val="Normal"/>
        <w:spacing w:lineRule="auto" w:line="240" w:before="0" w:after="0"/>
        <w:jc w:val="both"/>
        <w:rPr>
          <w:rFonts w:ascii="Calibri" w:hAnsi="Calibri" w:eastAsia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eastAsia="Times New Roman" w:cs="Times New Roman"/>
          <w:color w:val="000000" w:themeColor="text1"/>
          <w:sz w:val="24"/>
          <w:szCs w:val="24"/>
          <w:lang w:eastAsia="pl-PL"/>
        </w:rPr>
      </w:r>
    </w:p>
    <w:p>
      <w:pPr>
        <w:pStyle w:val="Nagwek2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III. OPIS KRYTERIÓW MERYTORYCZNYCH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agwek4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1. Opis zgodności działania potencjalnego partnera z przedmiotem i celami projektu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agwek4"/>
        <w:spacing w:before="0" w:after="0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</w:r>
    </w:p>
    <w:p>
      <w:pPr>
        <w:pStyle w:val="Nagwek4"/>
        <w:spacing w:before="0" w:after="0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2. Opis oferowanego wkładu potencjalnego partnera w realizację projektu</w:t>
      </w:r>
    </w:p>
    <w:p>
      <w:pPr>
        <w:pStyle w:val="Nagwek4"/>
        <w:spacing w:before="0" w:after="0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(finansowy, kadrowo-organizacyjny, techniczny)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agwek4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 xml:space="preserve">3. Opis doświadczenia w realizacji projektów </w:t>
      </w:r>
      <w:r>
        <w:rPr>
          <w:rFonts w:cs="Times New Roman" w:ascii="Calibri" w:hAnsi="Calibri"/>
          <w:color w:val="211D1E"/>
          <w:sz w:val="24"/>
          <w:szCs w:val="24"/>
        </w:rPr>
        <w:t>d współfinansowanych ze środków EFS, w tym projektów edukacyjnych</w:t>
      </w:r>
      <w:r>
        <w:rPr>
          <w:rFonts w:cs="Times New Roman" w:ascii="Calibri" w:hAnsi="Calibri"/>
          <w:color w:val="000000" w:themeColor="text1"/>
          <w:sz w:val="24"/>
          <w:szCs w:val="24"/>
        </w:rPr>
        <w:t xml:space="preserve"> (tytuł projektu, wartość, grupa docelowa, podstawowe działania, rola w projekcie, źródło dofinansowania)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agwek4"/>
        <w:rPr>
          <w:rFonts w:ascii="Calibri" w:hAnsi="Calibri"/>
        </w:rPr>
      </w:pPr>
      <w:r>
        <w:rPr>
          <w:rFonts w:cs="Times New Roman" w:ascii="Calibri" w:hAnsi="Calibri"/>
          <w:color w:val="000000" w:themeColor="text1"/>
          <w:sz w:val="24"/>
          <w:szCs w:val="24"/>
        </w:rPr>
        <w:t>4. Opis koncepcji współpracy przy realizacji projektu (w tym opis podziału zadań między Partnera a Lidera)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Załączniki: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>1.</w:t>
      </w:r>
    </w:p>
    <w:p>
      <w:pPr>
        <w:pStyle w:val="Normal"/>
        <w:spacing w:lineRule="auto" w:line="240" w:before="0" w:after="0"/>
        <w:jc w:val="both"/>
        <w:rPr>
          <w:rFonts w:ascii="Calibri" w:hAnsi="Calibri"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............................... </w:t>
        <w:tab/>
        <w:tab/>
        <w:tab/>
        <w:t>……............................................................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>
          <w:rFonts w:cs="Times New Roman"/>
          <w:color w:val="000000" w:themeColor="text1"/>
          <w:sz w:val="24"/>
          <w:szCs w:val="24"/>
        </w:rPr>
        <w:t xml:space="preserve">miejscowość, data </w:t>
        <w:tab/>
        <w:tab/>
        <w:tab/>
        <w:t>pieczęć imienna i czytelny podpis osoby upoważnionej</w:t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             </w:t>
      </w:r>
      <w:r>
        <w:rPr/>
        <w:t xml:space="preserve">Załącznik nr 3 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</w:t>
      </w:r>
      <w:r>
        <w:rPr/>
        <w:t>do Zarządzenia nr 6</w:t>
      </w:r>
      <w:r>
        <w:rPr/>
        <w:t>5</w:t>
      </w:r>
      <w:r>
        <w:rPr/>
        <w:t>/2023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</w:t>
      </w:r>
      <w:r>
        <w:rPr/>
        <w:t>Wójta Gminy Rachanie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  <w:t xml:space="preserve">                                                                                                                                          </w:t>
      </w:r>
      <w:r>
        <w:rPr/>
        <w:t>z dnia 12 grudnia 2023 r.</w:t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/>
        </w:rPr>
      </w:pPr>
      <w:r>
        <w:rPr/>
      </w:r>
    </w:p>
    <w:p>
      <w:pPr>
        <w:pStyle w:val="Normal"/>
        <w:spacing w:lineRule="auto" w:line="240" w:before="0" w:after="0"/>
        <w:rPr>
          <w:rFonts w:ascii="Calibri" w:hAnsi="Calibri"/>
          <w:b/>
          <w:b/>
          <w:bCs/>
        </w:rPr>
      </w:pPr>
      <w:r>
        <w:rPr>
          <w:b/>
          <w:bCs/>
        </w:rPr>
        <w:t xml:space="preserve">Regulamin naboru partnera </w:t>
      </w:r>
      <w:r>
        <w:rPr>
          <w:rFonts w:eastAsia="Times New Roman"/>
          <w:b/>
          <w:bCs/>
          <w:lang w:eastAsia="pl-PL"/>
        </w:rPr>
        <w:t xml:space="preserve">pochodzącego </w:t>
      </w:r>
      <w:r>
        <w:rPr>
          <w:rFonts w:eastAsia="Times New Roman"/>
          <w:b/>
          <w:bCs/>
          <w:u w:val="single"/>
          <w:lang w:eastAsia="pl-PL"/>
        </w:rPr>
        <w:t>spoza sektora finansów publicznych</w:t>
      </w:r>
      <w:r>
        <w:rPr>
          <w:rFonts w:eastAsia="Times New Roman"/>
          <w:b/>
          <w:bCs/>
          <w:lang w:eastAsia="pl-PL"/>
        </w:rPr>
        <w:t>, do wspólnej realizacji projektu, w ramach Funduszy Europejskich dla Lubelskiego 2021-27, Priorytet X: Lepsza edukacja , Działanie 10.2 Działanie 10.2 Edukacja Przedszkolna. Wnioskodawcą będzie Gmina  Rachanie</w:t>
      </w:r>
    </w:p>
    <w:p>
      <w:pPr>
        <w:pStyle w:val="Nagwek2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  <w:color w:val="auto"/>
        </w:rPr>
        <w:t>§ 1</w:t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Cel i przedmiot projektu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Autospacing="1" w:after="0"/>
        <w:ind w:left="426" w:hanging="284"/>
        <w:contextualSpacing/>
        <w:jc w:val="both"/>
        <w:rPr>
          <w:rFonts w:ascii="Calibri" w:hAnsi="Calibri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Celem Partnerstwa będzie wspólna realizacja projektu skierowanego do osób uczniów szkół podstawowych zgodnie Wytycznymi w zakresie realizacji przedsięwzięć w obszarze kształcenia ogólnego z wykorzystaniem środków EFS i EFRR na lata 2021-27, ze szczególnym uczniów szkół podstawowych Gminy Rachanie.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ind w:left="426" w:hanging="284"/>
        <w:contextualSpacing/>
        <w:jc w:val="both"/>
        <w:rPr>
          <w:rFonts w:ascii="Calibri" w:hAnsi="Calibri"/>
        </w:rPr>
      </w:pPr>
      <w:r>
        <w:rPr>
          <w:rFonts w:eastAsia="Times New Roman"/>
          <w:color w:val="000000"/>
          <w:sz w:val="24"/>
          <w:szCs w:val="24"/>
          <w:lang w:eastAsia="pl-PL"/>
        </w:rPr>
        <w:t>Realizatorem projektu w imieniu Gminy Rachanie będzie Urząd Gminy Rachanie, jednostka odpowiedzialna za przygotowanie wspólnie  z Partnerem wniosku projektowego, w odpowiedzi na konkurs dotyczący Działanie 10.2 Edukacja Przedszkolna FEL na lata 2021-27 ogłoszony przez Urząd Marszałkowski Województwa Lubelskiego.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0" w:after="0"/>
        <w:ind w:left="426" w:hanging="284"/>
        <w:contextualSpacing/>
        <w:jc w:val="both"/>
        <w:rPr>
          <w:rFonts w:ascii="Calibri" w:hAnsi="Calibri"/>
        </w:rPr>
      </w:pPr>
      <w:r>
        <w:rPr>
          <w:rFonts w:eastAsia="Times New Roman"/>
          <w:color w:val="000000"/>
          <w:sz w:val="24"/>
          <w:szCs w:val="24"/>
          <w:lang w:eastAsia="pl-PL"/>
        </w:rPr>
        <w:t xml:space="preserve">Przedmiotem projektu będzie wsparcie rozwijania kompetencji, umiejętności, uzdolnień, zainteresowań uczniów poza edukacją formalną oraz opracowanie programów rozwojowych szkół </w:t>
      </w:r>
      <w:r>
        <w:rPr>
          <w:sz w:val="24"/>
          <w:szCs w:val="24"/>
        </w:rPr>
        <w:t xml:space="preserve"> w Gminie Rachanie.</w:t>
      </w:r>
    </w:p>
    <w:p>
      <w:pPr>
        <w:pStyle w:val="ListParagraph"/>
        <w:shd w:val="clear" w:color="auto" w:fill="FFFFFF"/>
        <w:spacing w:beforeAutospacing="1" w:afterAutospacing="1"/>
        <w:ind w:left="426" w:hanging="284"/>
        <w:contextualSpacing/>
        <w:jc w:val="both"/>
        <w:rPr>
          <w:rFonts w:ascii="Calibri" w:hAnsi="Calibri"/>
        </w:rPr>
      </w:pPr>
      <w:r>
        <w:rPr>
          <w:sz w:val="24"/>
          <w:szCs w:val="24"/>
        </w:rPr>
        <w:t>4. Do zadań Partnera należeć będzie współpraca w przygotowaniu wniosku o dofinansowanie projektu w oparciu o uzgodnioną z Gminą Rachanie koncepcję realizacji projektu oraz realizacja minimum 3 z podanych niżej 6 zadań, w zależności od potencjału kadrowo-organizacyjnego Partnera: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 działania rekrutacyjne,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 zajęcia dodatkowe dla uczniów,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organizacja wyjazdów edukacyjnych dla uczniów,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zakup wyposażenia projektowego,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realizację wsparcia dla nauczycieli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/>
        </w:rPr>
      </w:pPr>
      <w:r>
        <w:rPr>
          <w:rFonts w:eastAsia="Calibri" w:cs="Times New Roman"/>
          <w:sz w:val="24"/>
          <w:szCs w:val="24"/>
        </w:rPr>
        <w:t>- wspólny monitoring i promocja projektu</w:t>
      </w:r>
    </w:p>
    <w:p>
      <w:pPr>
        <w:pStyle w:val="Normal"/>
        <w:shd w:val="clear" w:color="auto" w:fill="FFFFFF"/>
        <w:spacing w:lineRule="auto" w:line="276" w:beforeAutospacing="1" w:afterAutospacing="1"/>
        <w:ind w:left="426" w:hanging="0"/>
        <w:jc w:val="both"/>
        <w:rPr>
          <w:rFonts w:ascii="Calibri" w:hAnsi="Calibri"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§ 2 </w:t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Nabór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1. Warunkiem uczestnictwa w naborze jest złożenie oferty wraz z załącznikami w terminie określonym w ogłoszeniu o naborze.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2. Formularz oferty stanowi załącznik nr 1 do Regulaminu.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3. Do oferty należy załączyć następujące dokumenty:</w:t>
      </w:r>
    </w:p>
    <w:p>
      <w:pPr>
        <w:pStyle w:val="Normal"/>
        <w:shd w:val="clear" w:color="auto" w:fill="FFFFFF"/>
        <w:spacing w:lineRule="auto" w:line="276" w:beforeAutospacing="1" w:after="0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a) aktualny odpis z rejestru lub odpowiedniego wyciągu z ewidencji (wystawiony nie wcześniej niż przed upływem 6 miesięcy przed terminem składania ofert) lub inne dokumenty potwierdzające status prawny oferenta i umocowanie osób go reprezentujących,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b) aktualny statut podmiotu (jeśli podmiot go posiada).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4. Oferty złożone po terminie wskazanym w ogłoszeniu pozostaną bez rozpatrzenia.</w:t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§ 3</w:t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Ocena ofert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 xml:space="preserve">1. Oceny ofert dokona Komisja powołana przez Wójta Gmina Rachanie.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2. Ocena ofert zostanie dokonana w terminie 3 dni od zakończenia naboru.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3.Komisja dokona oceny wniosków pod kątem formalnym i merytorycznym.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4. Ocena formalna wniosku jest oceną zero-jedynkową i dotyczy: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a) prawidłowości terminu złożenia oferty,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b)  kompletności oferty i załączników, w tym złożenia oświadczeń będących częścią formularza oferty (załącznik nr 1),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c) zgodności typu oferenta z wymaganiami naboru,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d) podpisania Formularza oferty przez osobę/osoby uprawnione do reprezentowania podmiotu,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e) posiadania siedziby, filii lub oddziału na terenie województwa lubelskiego.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5. Ocena merytoryczna odnosi się do następujących kryteriów: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a) zgodność działalności Partnera z przedmiotem i celami projektu (0-10pkt),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b) oferowany wkład Partnera w zakres projektu w postaci zasobów ludzkich, finansowych, technicznych zarówno na etapie przygotowania jak i realizacji projektu (0-10pkt),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c) doświadczenie partnera w realizacji projektów z zakresu projektów współfinansowanych ze środków EFS, w tym projektów edukacyjnych (0-10pkt.),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d) koncepcja współpracy przy realizacji projektu (0-10 pkt).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6. Do realizacji projektu może zostać wybrany Oferent, który spełni wszystkie wymogi formalne oraz uzyska minimum 60% punktów.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7. Każdy z członków komisji dokonuje indywidualnej oceny każdej oferty.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8. Ostateczną ocenę oferty stanowi średnia arytmetyczna z sumy punktów przyznanych łącznie przez członków Komisji.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9. Ostateczna decyzję o wyborze partnera podejmie Wójt Gminie Rachanie.</w:t>
      </w:r>
    </w:p>
    <w:p>
      <w:pPr>
        <w:pStyle w:val="Default"/>
        <w:spacing w:lineRule="auto" w:line="276"/>
        <w:jc w:val="both"/>
        <w:rPr>
          <w:rFonts w:ascii="Calibri" w:hAnsi="Calibri"/>
        </w:rPr>
      </w:pPr>
      <w:r>
        <w:rPr>
          <w:rFonts w:cs="Times New Roman"/>
          <w:bCs/>
          <w:color w:val="211D1E"/>
        </w:rPr>
        <w:t>10. I</w:t>
      </w:r>
      <w:r>
        <w:rPr>
          <w:rFonts w:cs="Times New Roman"/>
        </w:rPr>
        <w:t>nformacja o podmiotach wybranych do pełnienia funkcji partnera zostanie podana do publicznej wiadomości na stronie internetowej https://rachanie.e-bip.eu</w:t>
      </w:r>
    </w:p>
    <w:p>
      <w:pPr>
        <w:pStyle w:val="Nagwek2"/>
        <w:jc w:val="center"/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>§ 4</w:t>
      </w:r>
    </w:p>
    <w:p>
      <w:pPr>
        <w:pStyle w:val="Nagwek2"/>
        <w:jc w:val="center"/>
        <w:rPr>
          <w:rFonts w:ascii="Calibri" w:hAnsi="Calibri"/>
        </w:rPr>
      </w:pPr>
      <w:r>
        <w:rPr>
          <w:rFonts w:ascii="Calibri" w:hAnsi="Calibri"/>
          <w:color w:val="auto"/>
        </w:rPr>
        <w:t xml:space="preserve">Postanowienia końcowe 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1. Gmina Rachanie zastrzega sobie prawo do: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Autospacing="1" w:after="0"/>
        <w:contextualSpacing/>
        <w:jc w:val="both"/>
        <w:rPr>
          <w:rFonts w:ascii="Calibri" w:hAnsi="Calibri"/>
        </w:rPr>
      </w:pPr>
      <w:r>
        <w:rPr>
          <w:bCs/>
          <w:color w:val="211D1E"/>
          <w:sz w:val="24"/>
          <w:szCs w:val="24"/>
        </w:rPr>
        <w:t>negocjowania z Oferentami warunków i kosztów realizacji zadań,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="0"/>
        <w:contextualSpacing/>
        <w:jc w:val="both"/>
        <w:rPr>
          <w:rFonts w:ascii="Calibri" w:hAnsi="Calibri"/>
        </w:rPr>
      </w:pPr>
      <w:r>
        <w:rPr>
          <w:bCs/>
          <w:color w:val="211D1E"/>
          <w:sz w:val="24"/>
          <w:szCs w:val="24"/>
        </w:rPr>
        <w:t xml:space="preserve">odstąpienia od naboru ofert bez podania przyczyny, </w:t>
      </w:r>
    </w:p>
    <w:p>
      <w:pPr>
        <w:pStyle w:val="ListParagraph"/>
        <w:numPr>
          <w:ilvl w:val="0"/>
          <w:numId w:val="1"/>
        </w:numPr>
        <w:shd w:val="clear" w:color="auto" w:fill="FFFFFF"/>
        <w:spacing w:before="0" w:afterAutospacing="1"/>
        <w:contextualSpacing/>
        <w:jc w:val="both"/>
        <w:rPr>
          <w:rFonts w:ascii="Calibri" w:hAnsi="Calibri"/>
        </w:rPr>
      </w:pPr>
      <w:r>
        <w:rPr>
          <w:bCs/>
          <w:color w:val="211D1E"/>
          <w:sz w:val="24"/>
          <w:szCs w:val="24"/>
        </w:rPr>
        <w:t>zamknięcia naboru bez wyboru Partnera.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>
          <w:bCs/>
          <w:color w:val="211D1E"/>
          <w:sz w:val="24"/>
          <w:szCs w:val="24"/>
        </w:rPr>
        <w:t>2. Realizacja partnerskiego projektu nastąpi wyłącznie w przypadku otrzymania dofinansowania projektu z FEL 2021-2027.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Calibri" w:hAnsi="Calibri" w:cs="Times New Roman"/>
          <w:bCs/>
          <w:color w:val="211D1E"/>
          <w:sz w:val="24"/>
          <w:szCs w:val="24"/>
        </w:rPr>
      </w:pPr>
      <w:r>
        <w:rPr>
          <w:rFonts w:cs="Times New Roman"/>
          <w:bCs/>
          <w:color w:val="211D1E"/>
          <w:sz w:val="24"/>
          <w:szCs w:val="24"/>
        </w:rPr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Załącznik:</w:t>
      </w:r>
    </w:p>
    <w:p>
      <w:pPr>
        <w:pStyle w:val="Normal"/>
        <w:shd w:val="clear" w:color="auto" w:fill="FFFFFF"/>
        <w:spacing w:lineRule="auto" w:line="276" w:beforeAutospacing="1" w:afterAutospacing="1"/>
        <w:rPr>
          <w:rFonts w:ascii="Calibri" w:hAnsi="Calibri"/>
        </w:rPr>
      </w:pPr>
      <w:r>
        <w:rPr>
          <w:rFonts w:cs="Times New Roman"/>
          <w:bCs/>
          <w:color w:val="211D1E"/>
          <w:sz w:val="24"/>
          <w:szCs w:val="24"/>
        </w:rPr>
        <w:t>1. Formularz oferty.</w:t>
      </w:r>
    </w:p>
    <w:p>
      <w:pPr>
        <w:pStyle w:val="Normal"/>
        <w:shd w:val="clear" w:color="auto" w:fill="FFFFFF"/>
        <w:spacing w:lineRule="auto" w:line="276" w:beforeAutospacing="1" w:afterAutospacing="1"/>
        <w:jc w:val="both"/>
        <w:rPr>
          <w:rFonts w:ascii="Calibri" w:hAnsi="Calibri"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qFormat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pl-PL"/>
    </w:rPr>
  </w:style>
  <w:style w:type="paragraph" w:styleId="Nagwek2">
    <w:name w:val="Heading 2"/>
    <w:basedOn w:val="Normal"/>
    <w:next w:val="Normal"/>
    <w:qFormat/>
    <w:pPr>
      <w:keepNext w:val="true"/>
      <w:keepLines/>
      <w:spacing w:before="200" w:after="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Nagwek3">
    <w:name w:val="Heading 3"/>
    <w:basedOn w:val="Normal"/>
    <w:next w:val="Normal"/>
    <w:qFormat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Nagwek4">
    <w:name w:val="Heading 4"/>
    <w:basedOn w:val="Normal"/>
    <w:next w:val="Normal"/>
    <w:qFormat/>
    <w:pPr>
      <w:keepNext w:val="true"/>
      <w:keepLines/>
      <w:spacing w:before="200" w:after="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Nagwek6">
    <w:name w:val="Heading 6"/>
    <w:basedOn w:val="Normal"/>
    <w:next w:val="Normal"/>
    <w:qFormat/>
    <w:pPr>
      <w:keepNext w:val="true"/>
      <w:keepLines/>
      <w:spacing w:before="200" w:after="0"/>
      <w:outlineLvl w:val="5"/>
    </w:pPr>
    <w:rPr>
      <w:rFonts w:ascii="Calibri Light" w:hAnsi="Calibri Light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9d06a3"/>
    <w:pPr>
      <w:spacing w:before="0" w:after="160"/>
      <w:ind w:left="72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zetargi@rachanie.gmina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Application>LibreOffice/7.0.0.3$Windows_X86_64 LibreOffice_project/8061b3e9204bef6b321a21033174034a5e2ea88e</Application>
  <Pages>9</Pages>
  <Words>1765</Words>
  <Characters>12814</Characters>
  <CharactersWithSpaces>16106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2023-03-17T12:42:00Z</dcterms:created>
  <dc:creator>Admin</dc:creator>
  <dc:description/>
  <dc:language>pl-PL</dc:language>
  <cp:lastModifiedBy/>
  <cp:lastPrinted>2023-12-12T10:54:21Z</cp:lastPrinted>
  <dcterms:modified xsi:type="dcterms:W3CDTF">2023-12-12T13:18:02Z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